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1C3681D" w14:textId="77777777" w:rsidR="0007420E" w:rsidRPr="007B4C39" w:rsidRDefault="003A6139">
      <w:pPr>
        <w:spacing w:after="40"/>
        <w:rPr>
          <w:color w:val="1F497D" w:themeColor="text2"/>
        </w:rPr>
      </w:pPr>
      <w:r w:rsidRPr="007B4C39">
        <w:rPr>
          <w:rFonts w:eastAsia="Roboto Light" w:cs="Roboto Light"/>
          <w:b/>
          <w:bCs/>
          <w:caps/>
          <w:color w:val="1F497D" w:themeColor="text2"/>
          <w:sz w:val="36"/>
          <w:szCs w:val="36"/>
        </w:rPr>
        <w:t>ETHOS &amp; SAFETY CULTURE</w:t>
      </w:r>
    </w:p>
    <w:p w14:paraId="207E082A" w14:textId="77777777" w:rsidR="0007420E" w:rsidRDefault="003A6139">
      <w:pPr>
        <w:spacing w:after="40"/>
      </w:pPr>
      <w:r>
        <w:rPr>
          <w:rFonts w:eastAsia="Roboto Light" w:cs="Roboto Light"/>
          <w:i/>
          <w:iCs/>
          <w:color w:val="444444"/>
          <w:sz w:val="24"/>
          <w:szCs w:val="24"/>
        </w:rPr>
        <w:t>Closing the Loop</w:t>
      </w:r>
    </w:p>
    <w:p w14:paraId="2037C4C9" w14:textId="77777777" w:rsidR="0007420E" w:rsidRPr="007B4C39" w:rsidRDefault="003A6139">
      <w:pPr>
        <w:spacing w:before="180" w:after="60"/>
        <w:rPr>
          <w:color w:val="1F497D" w:themeColor="text2"/>
        </w:rPr>
      </w:pPr>
      <w:r w:rsidRPr="007B4C39">
        <w:rPr>
          <w:rFonts w:eastAsia="Roboto Light" w:cs="Roboto Light"/>
          <w:b/>
          <w:bCs/>
          <w:caps/>
          <w:color w:val="1F497D" w:themeColor="text2"/>
          <w:sz w:val="26"/>
          <w:szCs w:val="26"/>
        </w:rPr>
        <w:t>The Core Argument</w:t>
      </w:r>
    </w:p>
    <w:p w14:paraId="168522F9" w14:textId="77777777" w:rsidR="0007420E" w:rsidRDefault="003A6139">
      <w:pPr>
        <w:spacing w:before="40" w:after="60"/>
      </w:pPr>
      <w:r>
        <w:rPr>
          <w:rFonts w:eastAsia="Roboto Light" w:cs="Roboto Light"/>
          <w:color w:val="1A1A2E"/>
          <w:sz w:val="22"/>
          <w:szCs w:val="22"/>
        </w:rPr>
        <w:t>Safety culture is not a separate initiative from ETHOS. It is what ETHOS produces.</w:t>
      </w:r>
    </w:p>
    <w:p w14:paraId="0C9B56AB" w14:textId="77777777" w:rsidR="0007420E" w:rsidRDefault="003A6139">
      <w:pPr>
        <w:spacing w:before="40" w:after="60"/>
      </w:pPr>
      <w:r>
        <w:rPr>
          <w:rFonts w:eastAsia="Roboto Light" w:cs="Roboto Light"/>
          <w:color w:val="1A1A2E"/>
          <w:sz w:val="22"/>
          <w:szCs w:val="22"/>
        </w:rPr>
        <w:t>Every major industrial safety disaster of the past 50 years shares one structural feature: the technical knowledge to prevent it existed before it happened. What did not exist was a culture that allowed that knowledge to reach a decision-maker in time.</w:t>
      </w:r>
    </w:p>
    <w:p w14:paraId="3E58980B" w14:textId="77777777" w:rsidR="0007420E" w:rsidRDefault="003A6139">
      <w:pPr>
        <w:spacing w:before="40" w:after="40"/>
        <w:ind w:left="431" w:hanging="288"/>
      </w:pPr>
      <w:r w:rsidRPr="007B4C39">
        <w:rPr>
          <w:rFonts w:eastAsia="Roboto Light" w:cs="Roboto Light"/>
          <w:b/>
          <w:bCs/>
          <w:color w:val="1F497D" w:themeColor="text2"/>
          <w:sz w:val="22"/>
          <w:szCs w:val="22"/>
        </w:rPr>
        <w:t xml:space="preserve">• </w:t>
      </w:r>
      <w:r>
        <w:rPr>
          <w:rFonts w:eastAsia="Roboto Light" w:cs="Roboto Light"/>
          <w:b/>
          <w:bCs/>
          <w:color w:val="1A1A2E"/>
          <w:sz w:val="22"/>
          <w:szCs w:val="22"/>
        </w:rPr>
        <w:t>Challenger:</w:t>
      </w:r>
      <w:r>
        <w:rPr>
          <w:rFonts w:eastAsia="Roboto Light" w:cs="Roboto Light"/>
          <w:color w:val="444444"/>
          <w:sz w:val="22"/>
          <w:szCs w:val="22"/>
        </w:rPr>
        <w:t xml:space="preserve"> Roger Boisjoly's O-ring concern existed in writing 6 months before launch. The teleconference the night before launch included engineers recommending no-go. The launch proceeded anyway.</w:t>
      </w:r>
    </w:p>
    <w:p w14:paraId="67CDA121" w14:textId="77777777" w:rsidR="0007420E" w:rsidRDefault="003A6139">
      <w:pPr>
        <w:spacing w:before="40" w:after="40"/>
        <w:ind w:left="431" w:hanging="288"/>
      </w:pPr>
      <w:r w:rsidRPr="007B4C39">
        <w:rPr>
          <w:rFonts w:eastAsia="Roboto Light" w:cs="Roboto Light"/>
          <w:b/>
          <w:bCs/>
          <w:color w:val="1F497D" w:themeColor="text2"/>
          <w:sz w:val="22"/>
          <w:szCs w:val="22"/>
        </w:rPr>
        <w:t xml:space="preserve">• </w:t>
      </w:r>
      <w:r>
        <w:rPr>
          <w:rFonts w:eastAsia="Roboto Light" w:cs="Roboto Light"/>
          <w:b/>
          <w:bCs/>
          <w:color w:val="1A1A2E"/>
          <w:sz w:val="22"/>
          <w:szCs w:val="22"/>
        </w:rPr>
        <w:t>Deepwater Horizon:</w:t>
      </w:r>
      <w:r>
        <w:rPr>
          <w:rFonts w:eastAsia="Roboto Light" w:cs="Roboto Light"/>
          <w:color w:val="444444"/>
          <w:sz w:val="22"/>
          <w:szCs w:val="22"/>
        </w:rPr>
        <w:t xml:space="preserve"> Integrity concerns with the Macondo well casing and cement job were raised in the weeks before the blowout. Schedule pressure was acute. Safeguards were bypassed.</w:t>
      </w:r>
    </w:p>
    <w:p w14:paraId="56AB6599" w14:textId="77777777" w:rsidR="0007420E" w:rsidRDefault="003A6139">
      <w:pPr>
        <w:spacing w:before="40" w:after="40"/>
        <w:ind w:left="431" w:hanging="288"/>
      </w:pPr>
      <w:r w:rsidRPr="007B4C39">
        <w:rPr>
          <w:rFonts w:eastAsia="Roboto Light" w:cs="Roboto Light"/>
          <w:b/>
          <w:bCs/>
          <w:color w:val="1F497D" w:themeColor="text2"/>
          <w:sz w:val="22"/>
          <w:szCs w:val="22"/>
        </w:rPr>
        <w:t xml:space="preserve">• </w:t>
      </w:r>
      <w:r>
        <w:rPr>
          <w:rFonts w:eastAsia="Roboto Light" w:cs="Roboto Light"/>
          <w:b/>
          <w:bCs/>
          <w:color w:val="1A1A2E"/>
          <w:sz w:val="22"/>
          <w:szCs w:val="22"/>
        </w:rPr>
        <w:t>Boeing 737 MAX:</w:t>
      </w:r>
      <w:r>
        <w:rPr>
          <w:rFonts w:eastAsia="Roboto Light" w:cs="Roboto Light"/>
          <w:color w:val="444444"/>
          <w:sz w:val="22"/>
          <w:szCs w:val="22"/>
        </w:rPr>
        <w:t xml:space="preserve"> Ed Pierson warned Boeing's CEO and the FAA about the 737 MAX production line before the first crash. Curtis Ewbank raised the MCAS risk assessment concerns internally before either crash. 346 people were killed.</w:t>
      </w:r>
    </w:p>
    <w:p w14:paraId="08658D08" w14:textId="77777777" w:rsidR="0007420E" w:rsidRDefault="0007420E">
      <w:pPr>
        <w:spacing w:before="40" w:after="40"/>
      </w:pPr>
    </w:p>
    <w:p w14:paraId="3AE01558" w14:textId="77777777" w:rsidR="0007420E" w:rsidRDefault="003A6139">
      <w:pPr>
        <w:spacing w:before="40" w:after="60"/>
      </w:pPr>
      <w:r>
        <w:rPr>
          <w:rFonts w:eastAsia="Roboto Light" w:cs="Roboto Light"/>
          <w:color w:val="1A1A2E"/>
          <w:sz w:val="22"/>
          <w:szCs w:val="22"/>
        </w:rPr>
        <w:t>In every case: the knowledge was there. The culture was not.</w:t>
      </w:r>
    </w:p>
    <w:p w14:paraId="419F959A" w14:textId="77777777" w:rsidR="0007420E" w:rsidRPr="007B4C39" w:rsidRDefault="003A6139">
      <w:pPr>
        <w:pBdr>
          <w:left w:val="single" w:sz="16" w:space="0" w:color="6730AD"/>
        </w:pBdr>
        <w:spacing w:before="100" w:after="100"/>
        <w:ind w:left="288" w:right="288"/>
        <w:rPr>
          <w:color w:val="1F497D" w:themeColor="text2"/>
        </w:rPr>
      </w:pPr>
      <w:r w:rsidRPr="007B4C39">
        <w:rPr>
          <w:rFonts w:eastAsia="Roboto Light" w:cs="Roboto Light"/>
          <w:i/>
          <w:iCs/>
          <w:color w:val="1F497D" w:themeColor="text2"/>
          <w:sz w:val="22"/>
          <w:szCs w:val="22"/>
        </w:rPr>
        <w:t>ETHOS — specifically the THAT framework — is the mechanism that keeps knowledge flowing.</w:t>
      </w:r>
    </w:p>
    <w:p w14:paraId="223B1D79" w14:textId="77777777" w:rsidR="0007420E" w:rsidRDefault="0007420E">
      <w:pPr>
        <w:pBdr>
          <w:bottom w:val="single" w:sz="8" w:space="0" w:color="6730AD"/>
        </w:pBdr>
        <w:spacing w:before="60" w:after="60"/>
      </w:pPr>
    </w:p>
    <w:p w14:paraId="50E66D58" w14:textId="77777777" w:rsidR="0007420E" w:rsidRPr="007B4C39" w:rsidRDefault="003A6139">
      <w:pPr>
        <w:spacing w:before="180" w:after="60"/>
        <w:rPr>
          <w:color w:val="1F497D" w:themeColor="text2"/>
        </w:rPr>
      </w:pPr>
      <w:r w:rsidRPr="007B4C39">
        <w:rPr>
          <w:rFonts w:eastAsia="Roboto Light" w:cs="Roboto Light"/>
          <w:b/>
          <w:bCs/>
          <w:caps/>
          <w:color w:val="1F497D" w:themeColor="text2"/>
          <w:sz w:val="26"/>
          <w:szCs w:val="26"/>
        </w:rPr>
        <w:t>The THAT → Safety Culture Map</w:t>
      </w:r>
    </w:p>
    <w:p w14:paraId="32FDA043" w14:textId="77777777" w:rsidR="0007420E" w:rsidRDefault="0007420E">
      <w:pPr>
        <w:spacing w:before="40" w:after="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8"/>
        <w:gridCol w:w="4316"/>
        <w:gridCol w:w="4316"/>
      </w:tblGrid>
      <w:tr w:rsidR="0007420E" w14:paraId="15EAE827" w14:textId="77777777" w:rsidTr="007B4C39">
        <w:trPr>
          <w:tblHeader/>
        </w:trPr>
        <w:tc>
          <w:tcPr>
            <w:tcW w:w="1000" w:type="pct"/>
            <w:shd w:val="clear" w:color="auto" w:fill="DBE5F1" w:themeFill="accent1" w:themeFillTint="33"/>
            <w:vAlign w:val="center"/>
          </w:tcPr>
          <w:p w14:paraId="46F9F545" w14:textId="77777777" w:rsidR="0007420E" w:rsidRPr="007B4C39" w:rsidRDefault="003A6139">
            <w:pPr>
              <w:rPr>
                <w:color w:val="1F497D" w:themeColor="text2"/>
              </w:rPr>
            </w:pPr>
            <w:r w:rsidRPr="007B4C39">
              <w:rPr>
                <w:rFonts w:eastAsia="Roboto Light" w:cs="Roboto Light"/>
                <w:b/>
                <w:bCs/>
                <w:color w:val="1F497D" w:themeColor="text2"/>
              </w:rPr>
              <w:t>THAT Value</w:t>
            </w:r>
          </w:p>
        </w:tc>
        <w:tc>
          <w:tcPr>
            <w:tcW w:w="2000" w:type="pct"/>
            <w:shd w:val="clear" w:color="auto" w:fill="DBE5F1" w:themeFill="accent1" w:themeFillTint="33"/>
            <w:vAlign w:val="center"/>
          </w:tcPr>
          <w:p w14:paraId="7E43241D" w14:textId="77777777" w:rsidR="0007420E" w:rsidRPr="007B4C39" w:rsidRDefault="003A6139">
            <w:pPr>
              <w:rPr>
                <w:color w:val="1F497D" w:themeColor="text2"/>
              </w:rPr>
            </w:pPr>
            <w:r w:rsidRPr="007B4C39">
              <w:rPr>
                <w:rFonts w:eastAsia="Roboto Light" w:cs="Roboto Light"/>
                <w:b/>
                <w:bCs/>
                <w:color w:val="1F497D" w:themeColor="text2"/>
              </w:rPr>
              <w:t>What It Does for Safety Culture</w:t>
            </w:r>
          </w:p>
        </w:tc>
        <w:tc>
          <w:tcPr>
            <w:tcW w:w="2000" w:type="pct"/>
            <w:shd w:val="clear" w:color="auto" w:fill="DBE5F1" w:themeFill="accent1" w:themeFillTint="33"/>
            <w:vAlign w:val="center"/>
          </w:tcPr>
          <w:p w14:paraId="70CD7ABF" w14:textId="77777777" w:rsidR="0007420E" w:rsidRPr="007B4C39" w:rsidRDefault="003A6139">
            <w:pPr>
              <w:rPr>
                <w:color w:val="1F497D" w:themeColor="text2"/>
              </w:rPr>
            </w:pPr>
            <w:r w:rsidRPr="007B4C39">
              <w:rPr>
                <w:rFonts w:eastAsia="Roboto Light" w:cs="Roboto Light"/>
                <w:b/>
                <w:bCs/>
                <w:color w:val="1F497D" w:themeColor="text2"/>
              </w:rPr>
              <w:t>What Its Absence Looks Like</w:t>
            </w:r>
          </w:p>
        </w:tc>
      </w:tr>
      <w:tr w:rsidR="0007420E" w14:paraId="72D99BC2" w14:textId="77777777" w:rsidTr="007B4C39">
        <w:tc>
          <w:tcPr>
            <w:tcW w:w="100" w:type="dxa"/>
            <w:shd w:val="clear" w:color="auto" w:fill="DBE5F1" w:themeFill="accent1" w:themeFillTint="33"/>
          </w:tcPr>
          <w:p w14:paraId="6FD8CFE5" w14:textId="77777777" w:rsidR="0007420E" w:rsidRPr="007B4C39" w:rsidRDefault="003A6139">
            <w:pPr>
              <w:rPr>
                <w:color w:val="1F497D" w:themeColor="text2"/>
              </w:rPr>
            </w:pPr>
            <w:r w:rsidRPr="007B4C39">
              <w:rPr>
                <w:rFonts w:eastAsia="Roboto Light" w:cs="Roboto Light"/>
                <w:b/>
                <w:bCs/>
                <w:color w:val="1F497D" w:themeColor="text2"/>
              </w:rPr>
              <w:t>T — Transparency</w:t>
            </w:r>
          </w:p>
        </w:tc>
        <w:tc>
          <w:tcPr>
            <w:tcW w:w="100" w:type="dxa"/>
            <w:shd w:val="clear" w:color="auto" w:fill="DBE5F1" w:themeFill="accent1" w:themeFillTint="33"/>
          </w:tcPr>
          <w:p w14:paraId="6BAC7914" w14:textId="77777777" w:rsidR="0007420E" w:rsidRDefault="003A6139">
            <w:r>
              <w:rPr>
                <w:rFonts w:eastAsia="Roboto Light" w:cs="Roboto Light"/>
                <w:color w:val="1A1A2E"/>
              </w:rPr>
              <w:t>Safety concerns surface before they become incidents — early, clearly, to the right people</w:t>
            </w:r>
          </w:p>
        </w:tc>
        <w:tc>
          <w:tcPr>
            <w:tcW w:w="100" w:type="dxa"/>
            <w:shd w:val="clear" w:color="auto" w:fill="DBE5F1" w:themeFill="accent1" w:themeFillTint="33"/>
          </w:tcPr>
          <w:p w14:paraId="52ADDBE4" w14:textId="77777777" w:rsidR="0007420E" w:rsidRDefault="003A6139">
            <w:r>
              <w:rPr>
                <w:rFonts w:eastAsia="Roboto Light" w:cs="Roboto Light"/>
                <w:i/>
                <w:iCs/>
                <w:color w:val="444444"/>
              </w:rPr>
              <w:t>A technician knows something is wrong and waits to see if it resolves. A manager flags a concern in passing and doesn't follow up. A risk assessment is completed without capturing the full picture.</w:t>
            </w:r>
          </w:p>
        </w:tc>
      </w:tr>
      <w:tr w:rsidR="0007420E" w14:paraId="0D1A8629" w14:textId="77777777">
        <w:tc>
          <w:tcPr>
            <w:tcW w:w="100" w:type="dxa"/>
            <w:shd w:val="clear" w:color="auto" w:fill="FFFFFF"/>
          </w:tcPr>
          <w:p w14:paraId="21394AD4" w14:textId="77777777" w:rsidR="0007420E" w:rsidRPr="007B4C39" w:rsidRDefault="003A6139">
            <w:pPr>
              <w:rPr>
                <w:color w:val="1F497D" w:themeColor="text2"/>
              </w:rPr>
            </w:pPr>
            <w:r w:rsidRPr="007B4C39">
              <w:rPr>
                <w:rFonts w:eastAsia="Roboto Light" w:cs="Roboto Light"/>
                <w:b/>
                <w:bCs/>
                <w:color w:val="1F497D" w:themeColor="text2"/>
              </w:rPr>
              <w:t>H — Honesty</w:t>
            </w:r>
          </w:p>
        </w:tc>
        <w:tc>
          <w:tcPr>
            <w:tcW w:w="100" w:type="dxa"/>
            <w:shd w:val="clear" w:color="auto" w:fill="FFFFFF"/>
          </w:tcPr>
          <w:p w14:paraId="2DF86954" w14:textId="77777777" w:rsidR="0007420E" w:rsidRDefault="003A6139">
            <w:r>
              <w:rPr>
                <w:rFonts w:eastAsia="Roboto Light" w:cs="Roboto Light"/>
                <w:color w:val="1A1A2E"/>
              </w:rPr>
              <w:t>Risk assessments, status reports, and test results reflect reality — not schedule pressure or optimism bias</w:t>
            </w:r>
          </w:p>
        </w:tc>
        <w:tc>
          <w:tcPr>
            <w:tcW w:w="100" w:type="dxa"/>
            <w:shd w:val="clear" w:color="auto" w:fill="FFFFFF"/>
          </w:tcPr>
          <w:p w14:paraId="2DED8BD7" w14:textId="77777777" w:rsidR="0007420E" w:rsidRDefault="003A6139">
            <w:r>
              <w:rPr>
                <w:rFonts w:eastAsia="Roboto Light" w:cs="Roboto Light"/>
                <w:i/>
                <w:iCs/>
                <w:color w:val="444444"/>
              </w:rPr>
              <w:t>A program review shows Green on an item everyone on the team knows is Yellow. A test result is reported without the anomalies. A schedule is described as achievable when it is not.</w:t>
            </w:r>
          </w:p>
        </w:tc>
      </w:tr>
      <w:tr w:rsidR="0007420E" w14:paraId="101CDD23" w14:textId="77777777" w:rsidTr="007B4C39">
        <w:tc>
          <w:tcPr>
            <w:tcW w:w="100" w:type="dxa"/>
            <w:shd w:val="clear" w:color="auto" w:fill="DBE5F1" w:themeFill="accent1" w:themeFillTint="33"/>
          </w:tcPr>
          <w:p w14:paraId="4D997835" w14:textId="77777777" w:rsidR="0007420E" w:rsidRPr="007B4C39" w:rsidRDefault="003A6139">
            <w:pPr>
              <w:rPr>
                <w:color w:val="1F497D" w:themeColor="text2"/>
              </w:rPr>
            </w:pPr>
            <w:r w:rsidRPr="007B4C39">
              <w:rPr>
                <w:rFonts w:eastAsia="Roboto Light" w:cs="Roboto Light"/>
                <w:b/>
                <w:bCs/>
                <w:color w:val="1F497D" w:themeColor="text2"/>
              </w:rPr>
              <w:t>A — Alignment</w:t>
            </w:r>
          </w:p>
        </w:tc>
        <w:tc>
          <w:tcPr>
            <w:tcW w:w="100" w:type="dxa"/>
            <w:shd w:val="clear" w:color="auto" w:fill="DBE5F1" w:themeFill="accent1" w:themeFillTint="33"/>
          </w:tcPr>
          <w:p w14:paraId="13A574A1" w14:textId="77777777" w:rsidR="0007420E" w:rsidRDefault="003A6139">
            <w:r>
              <w:rPr>
                <w:rFonts w:eastAsia="Roboto Light" w:cs="Roboto Light"/>
                <w:color w:val="1A1A2E"/>
              </w:rPr>
              <w:t>Safety priorities hold when they conflict with schedule, cost, or customer pressure</w:t>
            </w:r>
          </w:p>
        </w:tc>
        <w:tc>
          <w:tcPr>
            <w:tcW w:w="100" w:type="dxa"/>
            <w:shd w:val="clear" w:color="auto" w:fill="DBE5F1" w:themeFill="accent1" w:themeFillTint="33"/>
          </w:tcPr>
          <w:p w14:paraId="4D780321" w14:textId="77777777" w:rsidR="0007420E" w:rsidRDefault="003A6139">
            <w:r>
              <w:rPr>
                <w:rFonts w:eastAsia="Roboto Light" w:cs="Roboto Light"/>
                <w:i/>
                <w:iCs/>
                <w:color w:val="444444"/>
              </w:rPr>
              <w:t>"We'll address it in the next lot." "The inspection has never caught anything in this product family." "The customer is already watching us." These are the sentences of Alignment failure.</w:t>
            </w:r>
          </w:p>
        </w:tc>
      </w:tr>
      <w:tr w:rsidR="0007420E" w14:paraId="13ECD9BC" w14:textId="77777777">
        <w:tc>
          <w:tcPr>
            <w:tcW w:w="100" w:type="dxa"/>
            <w:shd w:val="clear" w:color="auto" w:fill="FFFFFF"/>
          </w:tcPr>
          <w:p w14:paraId="3E5C3A84" w14:textId="77777777" w:rsidR="0007420E" w:rsidRPr="007B4C39" w:rsidRDefault="003A6139">
            <w:pPr>
              <w:rPr>
                <w:color w:val="1F497D" w:themeColor="text2"/>
              </w:rPr>
            </w:pPr>
            <w:r w:rsidRPr="007B4C39">
              <w:rPr>
                <w:rFonts w:eastAsia="Roboto Light" w:cs="Roboto Light"/>
                <w:b/>
                <w:bCs/>
                <w:color w:val="1F497D" w:themeColor="text2"/>
              </w:rPr>
              <w:t>T — Trust</w:t>
            </w:r>
          </w:p>
        </w:tc>
        <w:tc>
          <w:tcPr>
            <w:tcW w:w="100" w:type="dxa"/>
            <w:shd w:val="clear" w:color="auto" w:fill="FFFFFF"/>
          </w:tcPr>
          <w:p w14:paraId="733DB9A2" w14:textId="77777777" w:rsidR="0007420E" w:rsidRDefault="003A6139">
            <w:r>
              <w:rPr>
                <w:rFonts w:eastAsia="Roboto Light" w:cs="Roboto Light"/>
                <w:color w:val="1A1A2E"/>
              </w:rPr>
              <w:t>Engineers and technicians know their concerns will be received — and bring them early, informally, before they become formal complaints</w:t>
            </w:r>
          </w:p>
        </w:tc>
        <w:tc>
          <w:tcPr>
            <w:tcW w:w="100" w:type="dxa"/>
            <w:shd w:val="clear" w:color="auto" w:fill="FFFFFF"/>
          </w:tcPr>
          <w:p w14:paraId="22077A55" w14:textId="77777777" w:rsidR="0007420E" w:rsidRDefault="003A6139">
            <w:r>
              <w:rPr>
                <w:rFonts w:eastAsia="Roboto Light" w:cs="Roboto Light"/>
                <w:i/>
                <w:iCs/>
                <w:color w:val="444444"/>
              </w:rPr>
              <w:t>A quality engineer mentions something "informally" twice and doesn't file a corrective action because she doesn't want to slow the program down. She has learned that raising concerns has a cost.</w:t>
            </w:r>
          </w:p>
        </w:tc>
      </w:tr>
    </w:tbl>
    <w:p w14:paraId="0069C663" w14:textId="77777777" w:rsidR="0007420E" w:rsidRDefault="0007420E">
      <w:pPr>
        <w:pBdr>
          <w:bottom w:val="single" w:sz="8" w:space="0" w:color="6730AD"/>
        </w:pBdr>
        <w:spacing w:before="60" w:after="60"/>
      </w:pPr>
    </w:p>
    <w:p w14:paraId="74EC6335" w14:textId="77777777" w:rsidR="0007420E" w:rsidRPr="007B4C39" w:rsidRDefault="003A6139">
      <w:pPr>
        <w:spacing w:before="180" w:after="60"/>
        <w:rPr>
          <w:color w:val="1F497D" w:themeColor="text2"/>
        </w:rPr>
      </w:pPr>
      <w:r w:rsidRPr="007B4C39">
        <w:rPr>
          <w:rFonts w:eastAsia="Roboto Light" w:cs="Roboto Light"/>
          <w:b/>
          <w:bCs/>
          <w:caps/>
          <w:color w:val="1F497D" w:themeColor="text2"/>
          <w:sz w:val="26"/>
          <w:szCs w:val="26"/>
        </w:rPr>
        <w:t>The Leadership Variable</w:t>
      </w:r>
    </w:p>
    <w:p w14:paraId="2BA6DEA5" w14:textId="77777777" w:rsidR="0007420E" w:rsidRDefault="003A6139">
      <w:pPr>
        <w:spacing w:before="40" w:after="60"/>
      </w:pPr>
      <w:r>
        <w:rPr>
          <w:rFonts w:eastAsia="Roboto Light" w:cs="Roboto Light"/>
          <w:color w:val="1A1A2E"/>
          <w:sz w:val="22"/>
          <w:szCs w:val="22"/>
        </w:rPr>
        <w:t>In every safety failure, the organizational culture was set by what happened the last time someone raised a concern.</w:t>
      </w:r>
    </w:p>
    <w:p w14:paraId="3BB82181" w14:textId="77777777" w:rsidR="0007420E" w:rsidRDefault="003A6139">
      <w:pPr>
        <w:spacing w:before="40" w:after="60"/>
      </w:pPr>
      <w:r>
        <w:rPr>
          <w:rFonts w:eastAsia="Roboto Light" w:cs="Roboto Light"/>
          <w:color w:val="1A1A2E"/>
          <w:sz w:val="22"/>
          <w:szCs w:val="22"/>
        </w:rPr>
        <w:t>If the concern was received well — heard, acted on, and the person who raised it was protected — the next person raises their concern faster and more directly.</w:t>
      </w:r>
    </w:p>
    <w:p w14:paraId="21EA293B" w14:textId="77777777" w:rsidR="0007420E" w:rsidRDefault="003A6139">
      <w:pPr>
        <w:spacing w:before="40" w:after="80"/>
      </w:pPr>
      <w:r>
        <w:rPr>
          <w:rFonts w:eastAsia="Roboto Light" w:cs="Roboto Light"/>
          <w:color w:val="1A1A2E"/>
          <w:sz w:val="22"/>
          <w:szCs w:val="22"/>
        </w:rPr>
        <w:lastRenderedPageBreak/>
        <w:t>If the concern was minimized, deferred, or punished — implicitly or explicitly — the next person waits longer. Or does not raise it at all. Or raises it only when the situation has already become a crisis.</w:t>
      </w:r>
    </w:p>
    <w:p w14:paraId="2F3C8E55" w14:textId="77777777" w:rsidR="0007420E" w:rsidRPr="007B4C39" w:rsidRDefault="003A6139">
      <w:pPr>
        <w:pBdr>
          <w:left w:val="single" w:sz="16" w:space="0" w:color="6730AD"/>
        </w:pBdr>
        <w:spacing w:before="100" w:after="100"/>
        <w:ind w:left="288" w:right="288"/>
        <w:rPr>
          <w:color w:val="1F497D" w:themeColor="text2"/>
        </w:rPr>
      </w:pPr>
      <w:r w:rsidRPr="007B4C39">
        <w:rPr>
          <w:rFonts w:eastAsia="Roboto Light" w:cs="Roboto Light"/>
          <w:i/>
          <w:iCs/>
          <w:color w:val="1F497D" w:themeColor="text2"/>
          <w:sz w:val="22"/>
          <w:szCs w:val="22"/>
        </w:rPr>
        <w:t>You are the most important variable in your team's safety culture.</w:t>
      </w:r>
    </w:p>
    <w:p w14:paraId="412D1ACF" w14:textId="77777777" w:rsidR="0007420E" w:rsidRDefault="0007420E">
      <w:pPr>
        <w:spacing w:before="40" w:after="40"/>
      </w:pPr>
    </w:p>
    <w:p w14:paraId="7A6A5F6C" w14:textId="77777777" w:rsidR="0007420E" w:rsidRDefault="003A6139">
      <w:pPr>
        <w:spacing w:before="40" w:after="40"/>
      </w:pPr>
      <w:r>
        <w:rPr>
          <w:rFonts w:eastAsia="Roboto Light" w:cs="Roboto Light"/>
          <w:i/>
          <w:iCs/>
          <w:color w:val="444444"/>
          <w:sz w:val="22"/>
          <w:szCs w:val="22"/>
        </w:rPr>
        <w:t xml:space="preserve">Not the policy. Not the reporting infrastructure. Not the safety program.  </w:t>
      </w:r>
    </w:p>
    <w:p w14:paraId="5DDBA579" w14:textId="77777777" w:rsidR="0007420E" w:rsidRDefault="003A6139">
      <w:pPr>
        <w:spacing w:before="40" w:after="60"/>
      </w:pPr>
      <w:r>
        <w:rPr>
          <w:rFonts w:eastAsia="Roboto Light" w:cs="Roboto Light"/>
          <w:b/>
          <w:bCs/>
          <w:color w:val="1A1A2E"/>
          <w:sz w:val="22"/>
          <w:szCs w:val="22"/>
        </w:rPr>
        <w:t>You — specifically, how you respond the next time someone brings you a problem you did not want to hear.</w:t>
      </w:r>
    </w:p>
    <w:p w14:paraId="4E67FABB" w14:textId="77777777" w:rsidR="0007420E" w:rsidRDefault="0007420E">
      <w:pPr>
        <w:pBdr>
          <w:bottom w:val="single" w:sz="8" w:space="0" w:color="6730AD"/>
        </w:pBdr>
        <w:spacing w:before="60" w:after="60"/>
      </w:pPr>
    </w:p>
    <w:p w14:paraId="060AC7BB" w14:textId="77777777" w:rsidR="0007420E" w:rsidRPr="007B4C39" w:rsidRDefault="003A6139">
      <w:pPr>
        <w:spacing w:before="180" w:after="60"/>
        <w:rPr>
          <w:color w:val="1F497D" w:themeColor="text2"/>
        </w:rPr>
      </w:pPr>
      <w:r w:rsidRPr="007B4C39">
        <w:rPr>
          <w:rFonts w:eastAsia="Roboto Light" w:cs="Roboto Light"/>
          <w:b/>
          <w:bCs/>
          <w:caps/>
          <w:color w:val="1F497D" w:themeColor="text2"/>
          <w:sz w:val="26"/>
          <w:szCs w:val="26"/>
        </w:rPr>
        <w:t>The Two Questions Every GD-OTS Leader Should Ask</w:t>
      </w:r>
    </w:p>
    <w:p w14:paraId="669D04B5" w14:textId="77777777" w:rsidR="0007420E" w:rsidRPr="007B4C39" w:rsidRDefault="003A6139">
      <w:pPr>
        <w:spacing w:before="140" w:after="40"/>
        <w:rPr>
          <w:color w:val="1F497D" w:themeColor="text2"/>
        </w:rPr>
      </w:pPr>
      <w:r w:rsidRPr="007B4C39">
        <w:rPr>
          <w:rFonts w:eastAsia="Roboto Light" w:cs="Roboto Light"/>
          <w:b/>
          <w:bCs/>
          <w:color w:val="1F497D" w:themeColor="text2"/>
          <w:sz w:val="24"/>
          <w:szCs w:val="24"/>
        </w:rPr>
        <w:t>Question 1: Is my team bringing me concerns early?</w:t>
      </w:r>
    </w:p>
    <w:p w14:paraId="30CA814D" w14:textId="77777777" w:rsidR="0007420E" w:rsidRDefault="003A6139">
      <w:pPr>
        <w:spacing w:before="40" w:after="40"/>
      </w:pPr>
      <w:r>
        <w:rPr>
          <w:rFonts w:eastAsia="Roboto Light" w:cs="Roboto Light"/>
          <w:color w:val="1A1A2E"/>
          <w:sz w:val="22"/>
          <w:szCs w:val="22"/>
        </w:rPr>
        <w:t>If yes — what are you doing that creates that environment? Name it so you can sustain it.</w:t>
      </w:r>
    </w:p>
    <w:p w14:paraId="63CF2FE0" w14:textId="77777777" w:rsidR="0007420E" w:rsidRDefault="003A6139">
      <w:pPr>
        <w:spacing w:before="40" w:after="60"/>
      </w:pPr>
      <w:r>
        <w:rPr>
          <w:rFonts w:eastAsia="Roboto Light" w:cs="Roboto Light"/>
          <w:color w:val="1A1A2E"/>
          <w:sz w:val="22"/>
          <w:szCs w:val="22"/>
        </w:rPr>
        <w:t>If no — why not? Is it pace? Is it hierarchy? Is it what happened the last time someone brought you bad news? That is the gap THAT is designed to close.</w:t>
      </w:r>
    </w:p>
    <w:p w14:paraId="1E6C9A77" w14:textId="77777777" w:rsidR="0007420E" w:rsidRPr="007B4C39" w:rsidRDefault="003A6139">
      <w:pPr>
        <w:spacing w:before="140" w:after="40"/>
        <w:rPr>
          <w:color w:val="1F497D" w:themeColor="text2"/>
        </w:rPr>
      </w:pPr>
      <w:r w:rsidRPr="007B4C39">
        <w:rPr>
          <w:rFonts w:eastAsia="Roboto Light" w:cs="Roboto Light"/>
          <w:b/>
          <w:bCs/>
          <w:color w:val="1F497D" w:themeColor="text2"/>
          <w:sz w:val="24"/>
          <w:szCs w:val="24"/>
        </w:rPr>
        <w:t>Question 2: When my team brings me a concern, what do they experience next?</w:t>
      </w:r>
    </w:p>
    <w:p w14:paraId="476E84E5" w14:textId="77777777" w:rsidR="0007420E" w:rsidRDefault="003A6139">
      <w:pPr>
        <w:spacing w:before="40" w:after="40"/>
      </w:pPr>
      <w:r>
        <w:rPr>
          <w:rFonts w:eastAsia="Roboto Light" w:cs="Roboto Light"/>
          <w:color w:val="1A1A2E"/>
          <w:sz w:val="22"/>
          <w:szCs w:val="22"/>
        </w:rPr>
        <w:t>The answer to that question is your safety culture. Not your safety policy. Not your incident rate.</w:t>
      </w:r>
    </w:p>
    <w:p w14:paraId="75ED31D6" w14:textId="77777777" w:rsidR="0007420E" w:rsidRPr="007B4C39" w:rsidRDefault="003A6139">
      <w:pPr>
        <w:pBdr>
          <w:left w:val="single" w:sz="16" w:space="0" w:color="6730AD"/>
        </w:pBdr>
        <w:spacing w:before="100" w:after="100"/>
        <w:ind w:left="288" w:right="288"/>
        <w:rPr>
          <w:color w:val="1F497D" w:themeColor="text2"/>
        </w:rPr>
      </w:pPr>
      <w:r w:rsidRPr="007B4C39">
        <w:rPr>
          <w:rFonts w:eastAsia="Roboto Light" w:cs="Roboto Light"/>
          <w:i/>
          <w:iCs/>
          <w:color w:val="1F497D" w:themeColor="text2"/>
          <w:sz w:val="22"/>
          <w:szCs w:val="22"/>
        </w:rPr>
        <w:t>What happens to the person who brings you the problem.</w:t>
      </w:r>
    </w:p>
    <w:p w14:paraId="279DC71E" w14:textId="77777777" w:rsidR="0007420E" w:rsidRDefault="0007420E">
      <w:pPr>
        <w:pBdr>
          <w:bottom w:val="single" w:sz="8" w:space="0" w:color="6730AD"/>
        </w:pBdr>
        <w:spacing w:before="60" w:after="60"/>
      </w:pPr>
    </w:p>
    <w:p w14:paraId="6AECA4C9" w14:textId="77777777" w:rsidR="0007420E" w:rsidRPr="007B4C39" w:rsidRDefault="003A6139">
      <w:pPr>
        <w:spacing w:before="180" w:after="60"/>
        <w:rPr>
          <w:color w:val="1F497D" w:themeColor="text2"/>
        </w:rPr>
      </w:pPr>
      <w:r w:rsidRPr="007B4C39">
        <w:rPr>
          <w:rFonts w:eastAsia="Roboto Light" w:cs="Roboto Light"/>
          <w:b/>
          <w:bCs/>
          <w:caps/>
          <w:color w:val="1F497D" w:themeColor="text2"/>
          <w:sz w:val="26"/>
          <w:szCs w:val="26"/>
        </w:rPr>
        <w:t>GD-OTS Stakes</w:t>
      </w:r>
    </w:p>
    <w:p w14:paraId="137A9986" w14:textId="77777777" w:rsidR="0007420E" w:rsidRDefault="003A6139">
      <w:pPr>
        <w:spacing w:before="40" w:after="60"/>
      </w:pPr>
      <w:r>
        <w:rPr>
          <w:rFonts w:eastAsia="Roboto Light" w:cs="Roboto Light"/>
          <w:color w:val="1A1A2E"/>
          <w:sz w:val="22"/>
          <w:szCs w:val="22"/>
        </w:rPr>
        <w:t>GD-OTS builds products used in defense systems. The stakes of safety failure are not a recall or a fine. They are mission failure. Lives at risk. National security implications.</w:t>
      </w:r>
    </w:p>
    <w:p w14:paraId="61606FBC" w14:textId="77777777" w:rsidR="0007420E" w:rsidRPr="007B4C39" w:rsidRDefault="003A6139">
      <w:pPr>
        <w:spacing w:before="40" w:after="60"/>
        <w:rPr>
          <w:color w:val="1F497D" w:themeColor="text2"/>
        </w:rPr>
      </w:pPr>
      <w:r>
        <w:rPr>
          <w:rFonts w:eastAsia="Roboto Light" w:cs="Roboto Light"/>
          <w:b/>
          <w:bCs/>
          <w:color w:val="1A1A2E"/>
          <w:sz w:val="22"/>
          <w:szCs w:val="22"/>
        </w:rPr>
        <w:t xml:space="preserve">GD-OTS Mission: </w:t>
      </w:r>
      <w:r w:rsidRPr="007B4C39">
        <w:rPr>
          <w:rFonts w:eastAsia="Roboto Light" w:cs="Roboto Light"/>
          <w:i/>
          <w:iCs/>
          <w:color w:val="1F497D" w:themeColor="text2"/>
          <w:sz w:val="22"/>
          <w:szCs w:val="22"/>
        </w:rPr>
        <w:t>Arm the warfighter with a decisive advantage.</w:t>
      </w:r>
    </w:p>
    <w:p w14:paraId="4BAB7921" w14:textId="77777777" w:rsidR="0007420E" w:rsidRDefault="003A6139">
      <w:pPr>
        <w:spacing w:before="40" w:after="60"/>
      </w:pPr>
      <w:r>
        <w:rPr>
          <w:rFonts w:eastAsia="Roboto Light" w:cs="Roboto Light"/>
          <w:color w:val="1A1A2E"/>
          <w:sz w:val="22"/>
          <w:szCs w:val="22"/>
        </w:rPr>
        <w:t>That mission is only possible if what GD-OTS delivers is what it said it would be — in performance, in quality, and in integrity. Safety culture is not a regulatory requirement that runs parallel to the mission. It is the foundation the mission rests on.</w:t>
      </w:r>
    </w:p>
    <w:p w14:paraId="0C52CE2B" w14:textId="77777777" w:rsidR="0007420E" w:rsidRDefault="003A6139">
      <w:pPr>
        <w:spacing w:before="40" w:after="80"/>
      </w:pPr>
      <w:r>
        <w:rPr>
          <w:rFonts w:eastAsia="Roboto Light" w:cs="Roboto Light"/>
          <w:color w:val="1A1A2E"/>
          <w:sz w:val="22"/>
          <w:szCs w:val="22"/>
        </w:rPr>
        <w:t>The warfighter carries what you build. ETHOS is why it works when it counts.</w:t>
      </w:r>
    </w:p>
    <w:p w14:paraId="5FBBFFAA" w14:textId="77777777" w:rsidR="0007420E" w:rsidRDefault="0007420E">
      <w:pPr>
        <w:pBdr>
          <w:bottom w:val="single" w:sz="8" w:space="0" w:color="6730AD"/>
        </w:pBdr>
        <w:spacing w:before="60" w:after="60"/>
      </w:pPr>
    </w:p>
    <w:p w14:paraId="4A4C17DD" w14:textId="77777777" w:rsidR="0007420E" w:rsidRPr="007B4C39" w:rsidRDefault="003A6139">
      <w:pPr>
        <w:spacing w:before="180" w:after="60"/>
        <w:rPr>
          <w:color w:val="1F497D" w:themeColor="text2"/>
        </w:rPr>
      </w:pPr>
      <w:r w:rsidRPr="007B4C39">
        <w:rPr>
          <w:rFonts w:eastAsia="Roboto Light" w:cs="Roboto Light"/>
          <w:b/>
          <w:bCs/>
          <w:caps/>
          <w:color w:val="1F497D" w:themeColor="text2"/>
          <w:sz w:val="26"/>
          <w:szCs w:val="26"/>
        </w:rPr>
        <w:t>From the Team Discussion</w:t>
      </w:r>
    </w:p>
    <w:p w14:paraId="643C63D5" w14:textId="77777777" w:rsidR="0007420E" w:rsidRDefault="003A6139">
      <w:pPr>
        <w:spacing w:before="40" w:after="60"/>
      </w:pPr>
      <w:r>
        <w:rPr>
          <w:rFonts w:eastAsia="Roboto Light" w:cs="Roboto Light"/>
          <w:i/>
          <w:iCs/>
          <w:color w:val="1A1A2E"/>
        </w:rPr>
        <w:t>Use this space during the share-out to capture what the cohort surfaced. These notes carry into your individual reflection.</w:t>
      </w:r>
    </w:p>
    <w:p w14:paraId="46C6AE9E" w14:textId="77777777" w:rsidR="0007420E" w:rsidRDefault="003A6139">
      <w:pPr>
        <w:spacing w:before="60" w:after="40"/>
      </w:pPr>
      <w:r>
        <w:rPr>
          <w:rFonts w:eastAsia="Roboto Light" w:cs="Roboto Light"/>
          <w:b/>
          <w:bCs/>
          <w:color w:val="1A1A2E"/>
          <w:sz w:val="22"/>
          <w:szCs w:val="22"/>
        </w:rPr>
        <w:t>The insight from the discussion that resonated most with my own experience:</w:t>
      </w:r>
    </w:p>
    <w:p w14:paraId="4F25B871" w14:textId="77777777" w:rsidR="0007420E" w:rsidRDefault="003A6139">
      <w:pPr>
        <w:pBdr>
          <w:bottom w:val="single" w:sz="3" w:space="0" w:color="CCCCCC"/>
        </w:pBdr>
        <w:spacing w:before="10" w:after="80"/>
        <w:rPr>
          <w:rFonts w:eastAsia="Roboto Light" w:cs="Roboto Light"/>
          <w:color w:val="1A1A2E"/>
          <w:sz w:val="22"/>
          <w:szCs w:val="22"/>
        </w:rPr>
      </w:pPr>
      <w:r>
        <w:rPr>
          <w:rFonts w:eastAsia="Roboto Light" w:cs="Roboto Light"/>
          <w:color w:val="1A1A2E"/>
          <w:sz w:val="22"/>
          <w:szCs w:val="22"/>
        </w:rPr>
        <w:t xml:space="preserve"> </w:t>
      </w:r>
    </w:p>
    <w:p w14:paraId="6CBFEA40" w14:textId="77777777" w:rsidR="00A50CAC" w:rsidRDefault="00A50CAC">
      <w:pPr>
        <w:pBdr>
          <w:bottom w:val="single" w:sz="3" w:space="0" w:color="CCCCCC"/>
        </w:pBdr>
        <w:spacing w:before="10" w:after="80"/>
      </w:pPr>
    </w:p>
    <w:p w14:paraId="7521A71B" w14:textId="77777777" w:rsidR="0007420E" w:rsidRDefault="003A6139">
      <w:pPr>
        <w:pBdr>
          <w:bottom w:val="single" w:sz="3" w:space="0" w:color="CCCCCC"/>
        </w:pBdr>
        <w:spacing w:before="10" w:after="80"/>
      </w:pPr>
      <w:r>
        <w:rPr>
          <w:rFonts w:eastAsia="Roboto Light" w:cs="Roboto Light"/>
          <w:color w:val="1A1A2E"/>
          <w:sz w:val="22"/>
          <w:szCs w:val="22"/>
        </w:rPr>
        <w:t xml:space="preserve"> </w:t>
      </w:r>
    </w:p>
    <w:p w14:paraId="2714B1C5" w14:textId="77777777" w:rsidR="0007420E" w:rsidRDefault="003A6139">
      <w:pPr>
        <w:spacing w:before="60" w:after="40"/>
      </w:pPr>
      <w:r>
        <w:rPr>
          <w:rFonts w:eastAsia="Roboto Light" w:cs="Roboto Light"/>
          <w:b/>
          <w:bCs/>
          <w:color w:val="1A1A2E"/>
          <w:sz w:val="22"/>
          <w:szCs w:val="22"/>
        </w:rPr>
        <w:t>The gap our group named — where stated safety values ≠ operating reality:</w:t>
      </w:r>
    </w:p>
    <w:p w14:paraId="5FF488E3" w14:textId="77777777" w:rsidR="0007420E" w:rsidRDefault="003A6139">
      <w:pPr>
        <w:pBdr>
          <w:bottom w:val="single" w:sz="3" w:space="0" w:color="CCCCCC"/>
        </w:pBdr>
        <w:spacing w:before="10" w:after="80"/>
        <w:rPr>
          <w:rFonts w:eastAsia="Roboto Light" w:cs="Roboto Light"/>
          <w:color w:val="1A1A2E"/>
          <w:sz w:val="22"/>
          <w:szCs w:val="22"/>
        </w:rPr>
      </w:pPr>
      <w:r>
        <w:rPr>
          <w:rFonts w:eastAsia="Roboto Light" w:cs="Roboto Light"/>
          <w:color w:val="1A1A2E"/>
          <w:sz w:val="22"/>
          <w:szCs w:val="22"/>
        </w:rPr>
        <w:t xml:space="preserve"> </w:t>
      </w:r>
    </w:p>
    <w:p w14:paraId="6E44AFB4" w14:textId="77777777" w:rsidR="00A50CAC" w:rsidRDefault="00A50CAC">
      <w:pPr>
        <w:pBdr>
          <w:bottom w:val="single" w:sz="3" w:space="0" w:color="CCCCCC"/>
        </w:pBdr>
        <w:spacing w:before="10" w:after="80"/>
      </w:pPr>
    </w:p>
    <w:p w14:paraId="433460C1" w14:textId="77777777" w:rsidR="0007420E" w:rsidRDefault="003A6139">
      <w:pPr>
        <w:pBdr>
          <w:bottom w:val="single" w:sz="3" w:space="0" w:color="CCCCCC"/>
        </w:pBdr>
        <w:spacing w:before="10" w:after="80"/>
      </w:pPr>
      <w:r>
        <w:rPr>
          <w:rFonts w:eastAsia="Roboto Light" w:cs="Roboto Light"/>
          <w:color w:val="1A1A2E"/>
          <w:sz w:val="22"/>
          <w:szCs w:val="22"/>
        </w:rPr>
        <w:t xml:space="preserve"> </w:t>
      </w:r>
    </w:p>
    <w:p w14:paraId="4B70A25B" w14:textId="77777777" w:rsidR="0007420E" w:rsidRDefault="003A6139">
      <w:pPr>
        <w:spacing w:before="60" w:after="40"/>
      </w:pPr>
      <w:r>
        <w:rPr>
          <w:rFonts w:eastAsia="Roboto Light" w:cs="Roboto Light"/>
          <w:b/>
          <w:bCs/>
          <w:color w:val="1A1A2E"/>
          <w:sz w:val="22"/>
          <w:szCs w:val="22"/>
        </w:rPr>
        <w:t>The specific leader behavior named as most needed at GD-OTS:</w:t>
      </w:r>
    </w:p>
    <w:p w14:paraId="3B115985" w14:textId="77777777" w:rsidR="0007420E" w:rsidRDefault="003A6139">
      <w:pPr>
        <w:pBdr>
          <w:bottom w:val="single" w:sz="3" w:space="0" w:color="CCCCCC"/>
        </w:pBdr>
        <w:spacing w:before="10" w:after="80"/>
      </w:pPr>
      <w:r>
        <w:rPr>
          <w:rFonts w:eastAsia="Roboto Light" w:cs="Roboto Light"/>
          <w:color w:val="1A1A2E"/>
          <w:sz w:val="22"/>
          <w:szCs w:val="22"/>
        </w:rPr>
        <w:t xml:space="preserve"> </w:t>
      </w:r>
    </w:p>
    <w:p w14:paraId="23A422B4" w14:textId="77777777" w:rsidR="0007420E" w:rsidRDefault="003A6139">
      <w:pPr>
        <w:pBdr>
          <w:bottom w:val="single" w:sz="3" w:space="0" w:color="CCCCCC"/>
        </w:pBdr>
        <w:spacing w:before="10" w:after="80"/>
        <w:rPr>
          <w:rFonts w:eastAsia="Roboto Light" w:cs="Roboto Light"/>
          <w:color w:val="1A1A2E"/>
          <w:sz w:val="22"/>
          <w:szCs w:val="22"/>
        </w:rPr>
      </w:pPr>
      <w:r>
        <w:rPr>
          <w:rFonts w:eastAsia="Roboto Light" w:cs="Roboto Light"/>
          <w:color w:val="1A1A2E"/>
          <w:sz w:val="22"/>
          <w:szCs w:val="22"/>
        </w:rPr>
        <w:t xml:space="preserve"> </w:t>
      </w:r>
    </w:p>
    <w:p w14:paraId="41385AF8" w14:textId="77777777" w:rsidR="00A50CAC" w:rsidRDefault="00A50CAC">
      <w:pPr>
        <w:pBdr>
          <w:bottom w:val="single" w:sz="3" w:space="0" w:color="CCCCCC"/>
        </w:pBdr>
        <w:spacing w:before="10" w:after="80"/>
      </w:pPr>
    </w:p>
    <w:p w14:paraId="248C5588" w14:textId="1CA3E269" w:rsidR="0007420E" w:rsidRPr="007E6697" w:rsidRDefault="0007420E" w:rsidP="00A50CAC">
      <w:pPr>
        <w:spacing w:before="80" w:after="40"/>
        <w:rPr>
          <w:sz w:val="18"/>
          <w:szCs w:val="18"/>
        </w:rPr>
      </w:pPr>
    </w:p>
    <w:sectPr w:rsidR="0007420E" w:rsidRPr="007E6697" w:rsidSect="00751850">
      <w:headerReference w:type="even" r:id="rId10"/>
      <w:headerReference w:type="default" r:id="rId11"/>
      <w:footerReference w:type="default" r:id="rId12"/>
      <w:headerReference w:type="first" r:id="rId13"/>
      <w:pgSz w:w="12240" w:h="15840"/>
      <w:pgMar w:top="1008" w:right="720" w:bottom="1008" w:left="720" w:header="432"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51D06" w14:textId="77777777" w:rsidR="00592975" w:rsidRDefault="00592975">
      <w:r>
        <w:separator/>
      </w:r>
    </w:p>
  </w:endnote>
  <w:endnote w:type="continuationSeparator" w:id="0">
    <w:p w14:paraId="593FADE1" w14:textId="77777777" w:rsidR="00592975" w:rsidRDefault="00592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ource Sans Pro">
    <w:panose1 w:val="020B0503030403020204"/>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05D0" w14:textId="537E60F8" w:rsidR="00DC227F" w:rsidRPr="00D637FB" w:rsidRDefault="00751850" w:rsidP="00751850">
    <w:pPr>
      <w:pBdr>
        <w:top w:val="single" w:sz="8" w:space="2" w:color="000000"/>
      </w:pBdr>
      <w:tabs>
        <w:tab w:val="center" w:pos="5400"/>
        <w:tab w:val="right" w:pos="10800"/>
      </w:tabs>
      <w:rPr>
        <w:rFonts w:ascii="Source Sans Pro" w:hAnsi="Source Sans Pro"/>
        <w:sz w:val="16"/>
        <w:szCs w:val="10"/>
      </w:rPr>
    </w:pPr>
    <w:r w:rsidRPr="00DD48BD">
      <w:rPr>
        <w:rFonts w:ascii="Source Sans Pro" w:hAnsi="Source Sans Pro"/>
        <w:noProof/>
        <w:sz w:val="16"/>
        <w:szCs w:val="10"/>
      </w:rPr>
      <w:drawing>
        <wp:inline distT="0" distB="0" distL="0" distR="0" wp14:anchorId="1B796D06" wp14:editId="1C582DDD">
          <wp:extent cx="1122629" cy="341358"/>
          <wp:effectExtent l="0" t="0" r="0" b="1905"/>
          <wp:docPr id="1419783863" name="Picture 8" descr="A blue and black logo  AI-generated content may be incorrect.">
            <a:extLst xmlns:a="http://schemas.openxmlformats.org/drawingml/2006/main">
              <a:ext uri="{FF2B5EF4-FFF2-40B4-BE49-F238E27FC236}">
                <a16:creationId xmlns:a16="http://schemas.microsoft.com/office/drawing/2014/main" id="{294BEB86-BF6C-3083-393F-95432245A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and black logo  AI-generated content may be incorrect.">
                    <a:extLst>
                      <a:ext uri="{FF2B5EF4-FFF2-40B4-BE49-F238E27FC236}">
                        <a16:creationId xmlns:a16="http://schemas.microsoft.com/office/drawing/2014/main" id="{294BEB86-BF6C-3083-393F-95432245A5AD}"/>
                      </a:ext>
                    </a:extLst>
                  </pic:cNvPr>
                  <pic:cNvPicPr>
                    <a:picLocks noChangeAspect="1"/>
                  </pic:cNvPicPr>
                </pic:nvPicPr>
                <pic:blipFill>
                  <a:blip r:embed="rId1"/>
                  <a:stretch>
                    <a:fillRect/>
                  </a:stretch>
                </pic:blipFill>
                <pic:spPr>
                  <a:xfrm>
                    <a:off x="0" y="0"/>
                    <a:ext cx="1154017" cy="350902"/>
                  </a:xfrm>
                  <a:prstGeom prst="rect">
                    <a:avLst/>
                  </a:prstGeom>
                </pic:spPr>
              </pic:pic>
            </a:graphicData>
          </a:graphic>
        </wp:inline>
      </w:drawing>
    </w:r>
    <w:r>
      <w:rPr>
        <w:rFonts w:ascii="Source Sans Pro" w:hAnsi="Source Sans Pro"/>
        <w:sz w:val="16"/>
        <w:szCs w:val="10"/>
      </w:rPr>
      <w:tab/>
    </w:r>
    <w:r w:rsidR="00C404BC" w:rsidRPr="00D637FB">
      <w:rPr>
        <w:rFonts w:ascii="Source Sans Pro" w:hAnsi="Source Sans Pro"/>
        <w:sz w:val="16"/>
        <w:szCs w:val="10"/>
      </w:rPr>
      <w:tab/>
    </w:r>
    <w:r w:rsidR="00C404BC" w:rsidRPr="00751850">
      <w:rPr>
        <w:sz w:val="16"/>
        <w:szCs w:val="10"/>
      </w:rPr>
      <w:fldChar w:fldCharType="begin"/>
    </w:r>
    <w:r w:rsidR="00C404BC" w:rsidRPr="00751850">
      <w:rPr>
        <w:sz w:val="16"/>
        <w:szCs w:val="10"/>
      </w:rPr>
      <w:instrText>PAGE</w:instrText>
    </w:r>
    <w:r w:rsidR="00C404BC" w:rsidRPr="00751850">
      <w:rPr>
        <w:sz w:val="16"/>
        <w:szCs w:val="10"/>
      </w:rPr>
      <w:fldChar w:fldCharType="separate"/>
    </w:r>
    <w:r w:rsidR="00A604D6" w:rsidRPr="00751850">
      <w:rPr>
        <w:noProof/>
        <w:sz w:val="16"/>
        <w:szCs w:val="10"/>
      </w:rPr>
      <w:t>1</w:t>
    </w:r>
    <w:r w:rsidR="00C404BC" w:rsidRPr="00751850">
      <w:rPr>
        <w:sz w:val="16"/>
        <w:szCs w:val="10"/>
      </w:rPr>
      <w:fldChar w:fldCharType="end"/>
    </w:r>
    <w:r w:rsidR="003561E3" w:rsidRPr="00751850">
      <w:rPr>
        <w:sz w:val="16"/>
        <w:szCs w:val="10"/>
      </w:rPr>
      <w:t xml:space="preserve"> / </w:t>
    </w:r>
    <w:r w:rsidR="003561E3" w:rsidRPr="00751850">
      <w:rPr>
        <w:sz w:val="16"/>
        <w:szCs w:val="10"/>
      </w:rPr>
      <w:fldChar w:fldCharType="begin"/>
    </w:r>
    <w:r w:rsidR="003561E3" w:rsidRPr="00751850">
      <w:rPr>
        <w:sz w:val="16"/>
        <w:szCs w:val="10"/>
      </w:rPr>
      <w:instrText xml:space="preserve"> NUMPAGES  \* MERGEFORMAT </w:instrText>
    </w:r>
    <w:r w:rsidR="003561E3" w:rsidRPr="00751850">
      <w:rPr>
        <w:sz w:val="16"/>
        <w:szCs w:val="10"/>
      </w:rPr>
      <w:fldChar w:fldCharType="separate"/>
    </w:r>
    <w:r w:rsidR="003561E3" w:rsidRPr="00751850">
      <w:rPr>
        <w:noProof/>
        <w:sz w:val="16"/>
        <w:szCs w:val="10"/>
      </w:rPr>
      <w:t>1</w:t>
    </w:r>
    <w:r w:rsidR="003561E3" w:rsidRPr="00751850">
      <w:rPr>
        <w:sz w:val="16"/>
        <w:szCs w:val="1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57C84" w14:textId="77777777" w:rsidR="00592975" w:rsidRDefault="00592975">
      <w:r>
        <w:separator/>
      </w:r>
    </w:p>
  </w:footnote>
  <w:footnote w:type="continuationSeparator" w:id="0">
    <w:p w14:paraId="04D55394" w14:textId="77777777" w:rsidR="00592975" w:rsidRDefault="00592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01E3" w14:textId="77777777" w:rsidR="00A604D6" w:rsidRDefault="00A60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2C49" w14:textId="21130EEA" w:rsidR="00DC227F" w:rsidRDefault="007B4C39" w:rsidP="00751850">
    <w:pPr>
      <w:pStyle w:val="ListParagraph"/>
      <w:pBdr>
        <w:bottom w:val="single" w:sz="4" w:space="1" w:color="auto"/>
      </w:pBdr>
      <w:tabs>
        <w:tab w:val="center" w:pos="5040"/>
        <w:tab w:val="right" w:pos="10800"/>
      </w:tabs>
      <w:ind w:left="0" w:right="-144"/>
    </w:pPr>
    <w:r>
      <w:rPr>
        <w:noProof/>
      </w:rPr>
      <w:drawing>
        <wp:anchor distT="0" distB="0" distL="114300" distR="114300" simplePos="0" relativeHeight="251660288" behindDoc="0" locked="0" layoutInCell="1" allowOverlap="1" wp14:anchorId="71AA523A" wp14:editId="0375BD11">
          <wp:simplePos x="0" y="0"/>
          <wp:positionH relativeFrom="column">
            <wp:posOffset>6069204</wp:posOffset>
          </wp:positionH>
          <wp:positionV relativeFrom="paragraph">
            <wp:posOffset>97</wp:posOffset>
          </wp:positionV>
          <wp:extent cx="836930" cy="274320"/>
          <wp:effectExtent l="0" t="0" r="1270" b="5080"/>
          <wp:wrapSquare wrapText="bothSides"/>
          <wp:docPr id="1804944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44616" name="Picture 1804944616"/>
                  <pic:cNvPicPr/>
                </pic:nvPicPr>
                <pic:blipFill>
                  <a:blip r:embed="rId1">
                    <a:extLst>
                      <a:ext uri="{28A0092B-C50C-407E-A947-70E740481C1C}">
                        <a14:useLocalDpi xmlns:a14="http://schemas.microsoft.com/office/drawing/2010/main" val="0"/>
                      </a:ext>
                    </a:extLst>
                  </a:blip>
                  <a:stretch>
                    <a:fillRect/>
                  </a:stretch>
                </pic:blipFill>
                <pic:spPr>
                  <a:xfrm>
                    <a:off x="0" y="0"/>
                    <a:ext cx="836930" cy="274320"/>
                  </a:xfrm>
                  <a:prstGeom prst="rect">
                    <a:avLst/>
                  </a:prstGeom>
                </pic:spPr>
              </pic:pic>
            </a:graphicData>
          </a:graphic>
          <wp14:sizeRelH relativeFrom="page">
            <wp14:pctWidth>0</wp14:pctWidth>
          </wp14:sizeRelH>
          <wp14:sizeRelV relativeFrom="page">
            <wp14:pctHeight>0</wp14:pctHeight>
          </wp14:sizeRelV>
        </wp:anchor>
      </w:drawing>
    </w:r>
    <w:r w:rsidR="00914B45">
      <w:rPr>
        <w:noProof/>
      </w:rPr>
      <w:drawing>
        <wp:inline distT="0" distB="0" distL="0" distR="0" wp14:anchorId="2ED3D89F" wp14:editId="1817920F">
          <wp:extent cx="575580" cy="274320"/>
          <wp:effectExtent l="0" t="0" r="0" b="5080"/>
          <wp:docPr id="747769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69711" name="Picture 747769711"/>
                  <pic:cNvPicPr/>
                </pic:nvPicPr>
                <pic:blipFill>
                  <a:blip r:embed="rId2">
                    <a:extLst>
                      <a:ext uri="{28A0092B-C50C-407E-A947-70E740481C1C}">
                        <a14:useLocalDpi xmlns:a14="http://schemas.microsoft.com/office/drawing/2010/main" val="0"/>
                      </a:ext>
                    </a:extLst>
                  </a:blip>
                  <a:stretch>
                    <a:fillRect/>
                  </a:stretch>
                </pic:blipFill>
                <pic:spPr>
                  <a:xfrm>
                    <a:off x="0" y="0"/>
                    <a:ext cx="575580" cy="274320"/>
                  </a:xfrm>
                  <a:prstGeom prst="rect">
                    <a:avLst/>
                  </a:prstGeom>
                </pic:spPr>
              </pic:pic>
            </a:graphicData>
          </a:graphic>
        </wp:inline>
      </w:drawing>
    </w:r>
    <w:r w:rsidR="00240464">
      <w:tab/>
    </w:r>
    <w:r w:rsidR="00181E0C" w:rsidRPr="00751850">
      <w:rPr>
        <w:rFonts w:ascii="Roboto Light" w:hAnsi="Roboto Light"/>
        <w:sz w:val="18"/>
        <w:szCs w:val="13"/>
      </w:rPr>
      <w:fldChar w:fldCharType="begin"/>
    </w:r>
    <w:r w:rsidR="00181E0C" w:rsidRPr="00751850">
      <w:rPr>
        <w:rFonts w:ascii="Roboto Light" w:hAnsi="Roboto Light"/>
        <w:sz w:val="18"/>
        <w:szCs w:val="13"/>
      </w:rPr>
      <w:instrText xml:space="preserve"> TITLE  \* MERGEFORMAT </w:instrText>
    </w:r>
    <w:r w:rsidR="00181E0C" w:rsidRPr="00751850">
      <w:rPr>
        <w:rFonts w:ascii="Roboto Light" w:hAnsi="Roboto Light"/>
        <w:sz w:val="18"/>
        <w:szCs w:val="13"/>
      </w:rPr>
      <w:fldChar w:fldCharType="separate"/>
    </w:r>
    <w:r>
      <w:rPr>
        <w:rFonts w:ascii="Roboto Light" w:hAnsi="Roboto Light"/>
        <w:sz w:val="18"/>
        <w:szCs w:val="13"/>
      </w:rPr>
      <w:t>ETHOS &amp; Safety Cultur</w:t>
    </w:r>
    <w:r w:rsidRPr="00751850">
      <w:rPr>
        <w:rFonts w:ascii="Roboto Light" w:hAnsi="Roboto Light"/>
        <w:sz w:val="18"/>
        <w:szCs w:val="13"/>
      </w:rPr>
      <w:t>e</w:t>
    </w:r>
    <w:r w:rsidR="00181E0C" w:rsidRPr="00751850">
      <w:rPr>
        <w:rFonts w:ascii="Roboto Light" w:hAnsi="Roboto Light"/>
        <w:sz w:val="18"/>
        <w:szCs w:val="13"/>
      </w:rPr>
      <w:fldChar w:fldCharType="end"/>
    </w:r>
    <w:r w:rsidR="00F6433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17EB" w14:textId="77777777" w:rsidR="00A604D6" w:rsidRDefault="00A60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929908" o:spid="_x0000_i1025" type="#_x0000_t75" style="width:16.6pt;height:11.85pt;visibility:visible" o:bullet="t">
        <v:imagedata r:id="rId1" o:title=""/>
      </v:shape>
    </w:pict>
  </w:numPicBullet>
  <w:abstractNum w:abstractNumId="0" w15:restartNumberingAfterBreak="0">
    <w:nsid w:val="6D312E4E"/>
    <w:multiLevelType w:val="hybridMultilevel"/>
    <w:tmpl w:val="67F825F8"/>
    <w:lvl w:ilvl="0" w:tplc="0B0062F8">
      <w:start w:val="1"/>
      <w:numFmt w:val="bullet"/>
      <w:lvlText w:val=""/>
      <w:lvlPicBulletId w:val="0"/>
      <w:lvlJc w:val="left"/>
      <w:pPr>
        <w:tabs>
          <w:tab w:val="num" w:pos="720"/>
        </w:tabs>
        <w:ind w:left="720" w:hanging="360"/>
      </w:pPr>
      <w:rPr>
        <w:rFonts w:ascii="Symbol" w:hAnsi="Symbol" w:hint="default"/>
      </w:rPr>
    </w:lvl>
    <w:lvl w:ilvl="1" w:tplc="2F425192" w:tentative="1">
      <w:start w:val="1"/>
      <w:numFmt w:val="bullet"/>
      <w:lvlText w:val=""/>
      <w:lvlJc w:val="left"/>
      <w:pPr>
        <w:tabs>
          <w:tab w:val="num" w:pos="1440"/>
        </w:tabs>
        <w:ind w:left="1440" w:hanging="360"/>
      </w:pPr>
      <w:rPr>
        <w:rFonts w:ascii="Symbol" w:hAnsi="Symbol" w:hint="default"/>
      </w:rPr>
    </w:lvl>
    <w:lvl w:ilvl="2" w:tplc="9D96097A" w:tentative="1">
      <w:start w:val="1"/>
      <w:numFmt w:val="bullet"/>
      <w:lvlText w:val=""/>
      <w:lvlJc w:val="left"/>
      <w:pPr>
        <w:tabs>
          <w:tab w:val="num" w:pos="2160"/>
        </w:tabs>
        <w:ind w:left="2160" w:hanging="360"/>
      </w:pPr>
      <w:rPr>
        <w:rFonts w:ascii="Symbol" w:hAnsi="Symbol" w:hint="default"/>
      </w:rPr>
    </w:lvl>
    <w:lvl w:ilvl="3" w:tplc="E9B43A1A" w:tentative="1">
      <w:start w:val="1"/>
      <w:numFmt w:val="bullet"/>
      <w:lvlText w:val=""/>
      <w:lvlJc w:val="left"/>
      <w:pPr>
        <w:tabs>
          <w:tab w:val="num" w:pos="2880"/>
        </w:tabs>
        <w:ind w:left="2880" w:hanging="360"/>
      </w:pPr>
      <w:rPr>
        <w:rFonts w:ascii="Symbol" w:hAnsi="Symbol" w:hint="default"/>
      </w:rPr>
    </w:lvl>
    <w:lvl w:ilvl="4" w:tplc="766CA75E" w:tentative="1">
      <w:start w:val="1"/>
      <w:numFmt w:val="bullet"/>
      <w:lvlText w:val=""/>
      <w:lvlJc w:val="left"/>
      <w:pPr>
        <w:tabs>
          <w:tab w:val="num" w:pos="3600"/>
        </w:tabs>
        <w:ind w:left="3600" w:hanging="360"/>
      </w:pPr>
      <w:rPr>
        <w:rFonts w:ascii="Symbol" w:hAnsi="Symbol" w:hint="default"/>
      </w:rPr>
    </w:lvl>
    <w:lvl w:ilvl="5" w:tplc="32F42A56" w:tentative="1">
      <w:start w:val="1"/>
      <w:numFmt w:val="bullet"/>
      <w:lvlText w:val=""/>
      <w:lvlJc w:val="left"/>
      <w:pPr>
        <w:tabs>
          <w:tab w:val="num" w:pos="4320"/>
        </w:tabs>
        <w:ind w:left="4320" w:hanging="360"/>
      </w:pPr>
      <w:rPr>
        <w:rFonts w:ascii="Symbol" w:hAnsi="Symbol" w:hint="default"/>
      </w:rPr>
    </w:lvl>
    <w:lvl w:ilvl="6" w:tplc="828C9690" w:tentative="1">
      <w:start w:val="1"/>
      <w:numFmt w:val="bullet"/>
      <w:lvlText w:val=""/>
      <w:lvlJc w:val="left"/>
      <w:pPr>
        <w:tabs>
          <w:tab w:val="num" w:pos="5040"/>
        </w:tabs>
        <w:ind w:left="5040" w:hanging="360"/>
      </w:pPr>
      <w:rPr>
        <w:rFonts w:ascii="Symbol" w:hAnsi="Symbol" w:hint="default"/>
      </w:rPr>
    </w:lvl>
    <w:lvl w:ilvl="7" w:tplc="C2306560" w:tentative="1">
      <w:start w:val="1"/>
      <w:numFmt w:val="bullet"/>
      <w:lvlText w:val=""/>
      <w:lvlJc w:val="left"/>
      <w:pPr>
        <w:tabs>
          <w:tab w:val="num" w:pos="5760"/>
        </w:tabs>
        <w:ind w:left="5760" w:hanging="360"/>
      </w:pPr>
      <w:rPr>
        <w:rFonts w:ascii="Symbol" w:hAnsi="Symbol" w:hint="default"/>
      </w:rPr>
    </w:lvl>
    <w:lvl w:ilvl="8" w:tplc="AE522D88" w:tentative="1">
      <w:start w:val="1"/>
      <w:numFmt w:val="bullet"/>
      <w:lvlText w:val=""/>
      <w:lvlJc w:val="left"/>
      <w:pPr>
        <w:tabs>
          <w:tab w:val="num" w:pos="6480"/>
        </w:tabs>
        <w:ind w:left="6480" w:hanging="360"/>
      </w:pPr>
      <w:rPr>
        <w:rFonts w:ascii="Symbol" w:hAnsi="Symbol" w:hint="default"/>
      </w:rPr>
    </w:lvl>
  </w:abstractNum>
  <w:num w:numId="1" w16cid:durableId="344747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70F"/>
    <w:rsid w:val="00045DBD"/>
    <w:rsid w:val="0005709D"/>
    <w:rsid w:val="0007420E"/>
    <w:rsid w:val="00095768"/>
    <w:rsid w:val="00164938"/>
    <w:rsid w:val="00164E56"/>
    <w:rsid w:val="00181E0C"/>
    <w:rsid w:val="001954BD"/>
    <w:rsid w:val="00230BEA"/>
    <w:rsid w:val="00240464"/>
    <w:rsid w:val="00255912"/>
    <w:rsid w:val="00284353"/>
    <w:rsid w:val="00293268"/>
    <w:rsid w:val="002B6FA7"/>
    <w:rsid w:val="002C1C62"/>
    <w:rsid w:val="002C670F"/>
    <w:rsid w:val="002E0F6E"/>
    <w:rsid w:val="003020FA"/>
    <w:rsid w:val="00311DB6"/>
    <w:rsid w:val="003561E3"/>
    <w:rsid w:val="0035742B"/>
    <w:rsid w:val="00383899"/>
    <w:rsid w:val="003A6139"/>
    <w:rsid w:val="00452DD0"/>
    <w:rsid w:val="00473F37"/>
    <w:rsid w:val="00490897"/>
    <w:rsid w:val="004A46EB"/>
    <w:rsid w:val="004B2106"/>
    <w:rsid w:val="00592975"/>
    <w:rsid w:val="005C1E48"/>
    <w:rsid w:val="006912FB"/>
    <w:rsid w:val="006A0B9E"/>
    <w:rsid w:val="006A4871"/>
    <w:rsid w:val="006E141F"/>
    <w:rsid w:val="00702828"/>
    <w:rsid w:val="00751850"/>
    <w:rsid w:val="00780FB1"/>
    <w:rsid w:val="007A6737"/>
    <w:rsid w:val="007B4C39"/>
    <w:rsid w:val="007E6697"/>
    <w:rsid w:val="00824BA1"/>
    <w:rsid w:val="008E0E1A"/>
    <w:rsid w:val="00914B45"/>
    <w:rsid w:val="00917346"/>
    <w:rsid w:val="00920C40"/>
    <w:rsid w:val="009414BE"/>
    <w:rsid w:val="009458D6"/>
    <w:rsid w:val="009B101F"/>
    <w:rsid w:val="00A42ADD"/>
    <w:rsid w:val="00A50CAC"/>
    <w:rsid w:val="00A604D6"/>
    <w:rsid w:val="00A63A23"/>
    <w:rsid w:val="00A77133"/>
    <w:rsid w:val="00A8533C"/>
    <w:rsid w:val="00AC0ECC"/>
    <w:rsid w:val="00AE27D9"/>
    <w:rsid w:val="00AF3418"/>
    <w:rsid w:val="00B15348"/>
    <w:rsid w:val="00BA2993"/>
    <w:rsid w:val="00BC22DA"/>
    <w:rsid w:val="00BD48B2"/>
    <w:rsid w:val="00BF020B"/>
    <w:rsid w:val="00BF7B39"/>
    <w:rsid w:val="00C37062"/>
    <w:rsid w:val="00C404BC"/>
    <w:rsid w:val="00CD08F7"/>
    <w:rsid w:val="00D54602"/>
    <w:rsid w:val="00D637FB"/>
    <w:rsid w:val="00D93214"/>
    <w:rsid w:val="00DB26E5"/>
    <w:rsid w:val="00DC1423"/>
    <w:rsid w:val="00DC227F"/>
    <w:rsid w:val="00DD59E1"/>
    <w:rsid w:val="00DF326A"/>
    <w:rsid w:val="00E0259F"/>
    <w:rsid w:val="00E7119A"/>
    <w:rsid w:val="00E85C90"/>
    <w:rsid w:val="00EB4686"/>
    <w:rsid w:val="00EC188F"/>
    <w:rsid w:val="00ED727D"/>
    <w:rsid w:val="00F47440"/>
    <w:rsid w:val="00F56953"/>
    <w:rsid w:val="00F6433D"/>
    <w:rsid w:val="00FB43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68298"/>
  <w15:docId w15:val="{A6460DF8-1B22-42FB-BDEF-FB50937F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850"/>
    <w:pPr>
      <w:spacing w:line="240" w:lineRule="auto"/>
    </w:pPr>
    <w:rPr>
      <w:rFonts w:ascii="Roboto Light" w:eastAsia="Arial" w:hAnsi="Roboto Light" w:cs="Arial"/>
      <w:color w:val="1A1A1A"/>
      <w:lang w:val="en-US"/>
    </w:rPr>
  </w:style>
  <w:style w:type="paragraph" w:styleId="Heading1">
    <w:name w:val="heading 1"/>
    <w:basedOn w:val="Normal"/>
    <w:next w:val="Normal"/>
    <w:uiPriority w:val="9"/>
    <w:qFormat/>
    <w:pPr>
      <w:keepNext/>
      <w:keepLines/>
      <w:spacing w:before="400" w:after="120" w:line="276" w:lineRule="auto"/>
      <w:outlineLvl w:val="0"/>
    </w:pPr>
    <w:rPr>
      <w:rFonts w:ascii="Helvetica Neue" w:eastAsia="Roboto" w:hAnsi="Helvetica Neue" w:cs="Roboto"/>
      <w:color w:val="auto"/>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Helvetica Neue" w:eastAsia="Roboto" w:hAnsi="Helvetica Neue" w:cs="Roboto"/>
      <w:color w:val="auto"/>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Helvetica Neue" w:eastAsia="Roboto" w:hAnsi="Helvetica Neue" w:cs="Roboto"/>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Helvetica Neue" w:eastAsia="Roboto" w:hAnsi="Helvetica Neue" w:cs="Roboto"/>
      <w:color w:val="666666"/>
      <w:sz w:val="24"/>
      <w:szCs w:val="24"/>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Helvetica Neue" w:eastAsia="Roboto" w:hAnsi="Helvetica Neue" w:cs="Roboto"/>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Helvetica Neue" w:eastAsia="Roboto" w:hAnsi="Helvetica Neue" w:cs="Roboto"/>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Helvetica Neue" w:eastAsia="Roboto" w:hAnsi="Helvetica Neue" w:cs="Roboto"/>
      <w:color w:val="auto"/>
      <w:sz w:val="52"/>
      <w:szCs w:val="52"/>
      <w:lang w:val="en"/>
    </w:rPr>
  </w:style>
  <w:style w:type="paragraph" w:styleId="Subtitle">
    <w:name w:val="Subtitle"/>
    <w:basedOn w:val="Normal"/>
    <w:next w:val="Normal"/>
    <w:uiPriority w:val="11"/>
    <w:qFormat/>
    <w:pPr>
      <w:keepNext/>
      <w:keepLines/>
      <w:spacing w:after="320" w:line="276" w:lineRule="auto"/>
    </w:pPr>
    <w:rPr>
      <w:color w:val="666666"/>
      <w:sz w:val="30"/>
      <w:szCs w:val="30"/>
      <w:lang w:val="en"/>
    </w:rPr>
  </w:style>
  <w:style w:type="paragraph" w:styleId="Header">
    <w:name w:val="header"/>
    <w:basedOn w:val="Normal"/>
    <w:link w:val="HeaderChar"/>
    <w:uiPriority w:val="99"/>
    <w:unhideWhenUsed/>
    <w:rsid w:val="00A604D6"/>
    <w:pPr>
      <w:tabs>
        <w:tab w:val="center" w:pos="4680"/>
        <w:tab w:val="right" w:pos="9360"/>
      </w:tabs>
    </w:pPr>
    <w:rPr>
      <w:rFonts w:ascii="Helvetica Neue" w:eastAsia="Roboto" w:hAnsi="Helvetica Neue" w:cs="Roboto"/>
      <w:color w:val="auto"/>
      <w:sz w:val="24"/>
      <w:lang w:val="en"/>
    </w:rPr>
  </w:style>
  <w:style w:type="character" w:customStyle="1" w:styleId="HeaderChar">
    <w:name w:val="Header Char"/>
    <w:basedOn w:val="DefaultParagraphFont"/>
    <w:link w:val="Header"/>
    <w:uiPriority w:val="99"/>
    <w:rsid w:val="00A604D6"/>
  </w:style>
  <w:style w:type="paragraph" w:styleId="Footer">
    <w:name w:val="footer"/>
    <w:basedOn w:val="Normal"/>
    <w:link w:val="FooterChar"/>
    <w:uiPriority w:val="99"/>
    <w:unhideWhenUsed/>
    <w:rsid w:val="00A604D6"/>
    <w:pPr>
      <w:tabs>
        <w:tab w:val="center" w:pos="4680"/>
        <w:tab w:val="right" w:pos="9360"/>
      </w:tabs>
    </w:pPr>
    <w:rPr>
      <w:rFonts w:ascii="Helvetica Neue" w:eastAsia="Roboto" w:hAnsi="Helvetica Neue" w:cs="Roboto"/>
      <w:color w:val="auto"/>
      <w:sz w:val="24"/>
      <w:lang w:val="en"/>
    </w:rPr>
  </w:style>
  <w:style w:type="character" w:customStyle="1" w:styleId="FooterChar">
    <w:name w:val="Footer Char"/>
    <w:basedOn w:val="DefaultParagraphFont"/>
    <w:link w:val="Footer"/>
    <w:uiPriority w:val="99"/>
    <w:rsid w:val="00A604D6"/>
  </w:style>
  <w:style w:type="paragraph" w:styleId="NormalWeb">
    <w:name w:val="Normal (Web)"/>
    <w:basedOn w:val="Normal"/>
    <w:uiPriority w:val="99"/>
    <w:semiHidden/>
    <w:unhideWhenUsed/>
    <w:rsid w:val="00D637FB"/>
    <w:pPr>
      <w:spacing w:before="100" w:beforeAutospacing="1" w:after="100" w:afterAutospacing="1"/>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824BA1"/>
    <w:pPr>
      <w:spacing w:line="276" w:lineRule="auto"/>
      <w:ind w:left="720"/>
      <w:contextualSpacing/>
    </w:pPr>
    <w:rPr>
      <w:rFonts w:ascii="Helvetica Neue" w:eastAsia="Roboto" w:hAnsi="Helvetica Neue" w:cs="Roboto"/>
      <w:color w:val="auto"/>
      <w:sz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84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1c838e-4112-4751-88f2-5ccc8c7d2cd5">
      <Terms xmlns="http://schemas.microsoft.com/office/infopath/2007/PartnerControls"/>
    </lcf76f155ced4ddcb4097134ff3c332f>
    <TaxCatchAll xmlns="117fd268-07df-4852-8f5e-fd983fc92d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FEC5A965284A45A6106227324EBD4C" ma:contentTypeVersion="19" ma:contentTypeDescription="Create a new document." ma:contentTypeScope="" ma:versionID="dc097804217a2d1d1e6d219046ce72d4">
  <xsd:schema xmlns:xsd="http://www.w3.org/2001/XMLSchema" xmlns:xs="http://www.w3.org/2001/XMLSchema" xmlns:p="http://schemas.microsoft.com/office/2006/metadata/properties" xmlns:ns2="d31c838e-4112-4751-88f2-5ccc8c7d2cd5" xmlns:ns3="117fd268-07df-4852-8f5e-fd983fc92d8e" targetNamespace="http://schemas.microsoft.com/office/2006/metadata/properties" ma:root="true" ma:fieldsID="519f57d1ec59079897e9f853c6be7c64" ns2:_="" ns3:_="">
    <xsd:import namespace="d31c838e-4112-4751-88f2-5ccc8c7d2cd5"/>
    <xsd:import namespace="117fd268-07df-4852-8f5e-fd983fc92d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c838e-4112-4751-88f2-5ccc8c7d2c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48cb95-cee4-40b8-b246-4264a3e4a7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d268-07df-4852-8f5e-fd983fc92d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b8e408-fcc0-4c16-a4d6-63b0f25201fe}" ma:internalName="TaxCatchAll" ma:showField="CatchAllData" ma:web="117fd268-07df-4852-8f5e-fd983fc92d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2AB828-5406-4057-80F8-56493E6717DF}">
  <ds:schemaRefs>
    <ds:schemaRef ds:uri="http://schemas.microsoft.com/office/2006/metadata/properties"/>
    <ds:schemaRef ds:uri="http://schemas.microsoft.com/office/infopath/2007/PartnerControls"/>
    <ds:schemaRef ds:uri="d31c838e-4112-4751-88f2-5ccc8c7d2cd5"/>
    <ds:schemaRef ds:uri="117fd268-07df-4852-8f5e-fd983fc92d8e"/>
  </ds:schemaRefs>
</ds:datastoreItem>
</file>

<file path=customXml/itemProps2.xml><?xml version="1.0" encoding="utf-8"?>
<ds:datastoreItem xmlns:ds="http://schemas.openxmlformats.org/officeDocument/2006/customXml" ds:itemID="{7EF7F6F4-DE78-4746-A696-EF6DF194A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c838e-4112-4751-88f2-5ccc8c7d2cd5"/>
    <ds:schemaRef ds:uri="117fd268-07df-4852-8f5e-fd983fc92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DF8EAE-F7A2-4815-8568-8A23D49753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My Experience Developing AI Skills</vt:lpstr>
    </vt:vector>
  </TitlesOfParts>
  <Manager/>
  <Company>KMP Consultants</Company>
  <LinksUpToDate>false</LinksUpToDate>
  <CharactersWithSpaces>4788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ETHOS &amp; Safety Culture — Closing the Loop</dc:title>
  <dc:subject>Safety Culture Connection One-Pager — Session 9 Block 6</dc:subject>
  <dc:creator>KMP Consultants</dc:creator>
  <cp:keywords>ETHOS, Safety Culture, THAT, Transparency, Honesty, Alignment, Trust, Session 9, Block 6, Decathlon</cp:keywords>
  <dc:description>Participant one-pager connecting the THAT framework to safety culture, with individual reflection write lines. Session 9 Block 6.</dc:description>
  <cp:lastModifiedBy>Hero</cp:lastModifiedBy>
  <cp:revision>5</cp:revision>
  <dcterms:created xsi:type="dcterms:W3CDTF">2026-05-11T21:00:00Z</dcterms:created>
  <dcterms:modified xsi:type="dcterms:W3CDTF">2026-06-08T21:19:00Z</dcterms:modified>
  <cp:category>Decathlon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0x010100BCFEC5A965284A45A6106227324EBD4C</vt:lpwstr>
  </property>
  <property fmtid="{D5CDD505-2E9C-101B-9397-08002B2CF9AE}" pid="3" name="MediaServiceImageTags">
    <vt:lpwstr/>
  </property>
</Properties>
</file>